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é 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GABARITO</w:t>
      </w:r>
      <w:r w:rsidDel="00000000" w:rsidR="00000000" w:rsidRPr="00000000">
        <w:rPr>
          <w:sz w:val="24"/>
          <w:szCs w:val="24"/>
          <w:rtl w:val="0"/>
        </w:rPr>
        <w:t xml:space="preserve"> da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PROVA 1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baseado na leitura do artigo</w:t>
      </w:r>
      <w:r w:rsidDel="00000000" w:rsidR="00000000" w:rsidRPr="00000000">
        <w:rPr>
          <w:color w:val="cc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cc0000"/>
          <w:sz w:val="24"/>
          <w:szCs w:val="24"/>
          <w:u w:val="single"/>
          <w:rtl w:val="0"/>
        </w:rPr>
        <w:t xml:space="preserve">Ability of the Sport Education Model to Promote Healthy Lifestyles in University Students: A Randomized Controlled Trial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  <w:color w:val="0000f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1: 1,0 ponto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(D)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2: 1,0 ponto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(B)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3: 1,0 ponto 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(B)</w:t>
      </w:r>
      <w:r w:rsidDel="00000000" w:rsidR="00000000" w:rsidRPr="00000000">
        <w:rPr>
          <w:b w:val="1"/>
          <w:bCs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4: 1,0 ponto 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(D)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5: 0,5 ponto 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(C)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6: 1,0 ponto 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(C)</w:t>
      </w:r>
      <w:r w:rsidDel="00000000" w:rsidR="00000000" w:rsidRPr="00000000">
        <w:rPr>
          <w:b w:val="1"/>
          <w:bCs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7: 1,0 ponto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(C)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bCs w:val="1"/>
          <w:color w:val="cc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8: 1,5 ponto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9: 1,0 ponto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(A)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QUESTÃO 10: 1,0 ponto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Alternativa (B)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